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E0C60" w14:textId="77777777" w:rsidR="00FB15D4" w:rsidRPr="00FB15D4" w:rsidRDefault="00FB15D4" w:rsidP="00FB15D4">
      <w:pPr>
        <w:spacing w:after="0" w:line="240" w:lineRule="auto"/>
        <w:ind w:left="6372"/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  <w:t>Załącznik nr 6 do SWZ</w:t>
      </w:r>
    </w:p>
    <w:p w14:paraId="2B2D84C9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…………………………………………………………………….…….</w:t>
      </w:r>
    </w:p>
    <w:p w14:paraId="0C4BD88E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………………………………………………………..…………………</w:t>
      </w:r>
    </w:p>
    <w:p w14:paraId="54BF88A4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>(pełna nazwa  i adres podmiotu)</w:t>
      </w:r>
    </w:p>
    <w:p w14:paraId="52E9D93D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703FD4F2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…………………………………………………………….……........</w:t>
      </w:r>
    </w:p>
    <w:p w14:paraId="5BD9354F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>Numer NIP lub PESEL (w przypadku osób fizycznych)</w:t>
      </w:r>
    </w:p>
    <w:p w14:paraId="36DEF908" w14:textId="77777777" w:rsidR="00FB15D4" w:rsidRPr="00FB15D4" w:rsidRDefault="00FB15D4" w:rsidP="00FB15D4">
      <w:pPr>
        <w:spacing w:after="0" w:line="240" w:lineRule="auto"/>
        <w:jc w:val="both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p w14:paraId="23047FE0" w14:textId="77777777" w:rsidR="00FB15D4" w:rsidRPr="00FB15D4" w:rsidRDefault="00FB15D4" w:rsidP="00FB15D4">
      <w:pPr>
        <w:spacing w:after="0" w:line="240" w:lineRule="auto"/>
        <w:jc w:val="both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p w14:paraId="7EAA714A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p w14:paraId="6BC91792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p w14:paraId="1C9A2744" w14:textId="77777777" w:rsidR="00FB15D4" w:rsidRPr="00FB15D4" w:rsidRDefault="00FB15D4" w:rsidP="00FB15D4">
      <w:pPr>
        <w:spacing w:after="0" w:line="240" w:lineRule="auto"/>
        <w:jc w:val="center"/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  <w:t>OŚWIADCZENIE</w:t>
      </w:r>
    </w:p>
    <w:p w14:paraId="60E10C7B" w14:textId="77777777" w:rsidR="00FB15D4" w:rsidRPr="00FB15D4" w:rsidRDefault="00FB15D4" w:rsidP="00FB15D4">
      <w:pPr>
        <w:spacing w:after="0" w:line="240" w:lineRule="auto"/>
        <w:jc w:val="center"/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  <w:t xml:space="preserve">o aktualności informacji zawartych w oświadczeniu o którym mowa w art. 125 ust. 1 </w:t>
      </w:r>
      <w:proofErr w:type="spellStart"/>
      <w:r w:rsidRPr="00FB15D4"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  <w:t xml:space="preserve"> w zakresie podstaw do wykluczenia z postępowania oraz aktualności informacji dotyczących przesłanek wykluczenia z art. 7 ust. 1 ustawy z dnia 13 kwietnia 2022 r. o szczególnych rozwiązaniach w zakresie przeciwdziałania wspieraniu agresji na Ukrainę oraz służących ochronie bezpieczeństwa narodowego (Dz. U. z 2024 r., poz. 507)</w:t>
      </w:r>
    </w:p>
    <w:p w14:paraId="34A8AE0A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b/>
          <w:bCs/>
          <w:kern w:val="0"/>
          <w:lang w:eastAsia="pl-PL"/>
          <w14:ligatures w14:val="none"/>
        </w:rPr>
      </w:pPr>
    </w:p>
    <w:p w14:paraId="462989ED" w14:textId="7B6AE496" w:rsidR="00FB15D4" w:rsidRPr="00FB15D4" w:rsidRDefault="00FB15D4" w:rsidP="00FB15D4">
      <w:pPr>
        <w:widowControl w:val="0"/>
        <w:autoSpaceDE w:val="0"/>
        <w:autoSpaceDN w:val="0"/>
        <w:adjustRightInd w:val="0"/>
        <w:spacing w:after="120" w:line="300" w:lineRule="auto"/>
        <w:jc w:val="center"/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>Dotyczy</w:t>
      </w:r>
      <w:r w:rsidRPr="00FB15D4">
        <w:rPr>
          <w:rFonts w:ascii="Garamond" w:eastAsia="Times New Roman" w:hAnsi="Garamond" w:cs="Calibri"/>
          <w:color w:val="000000"/>
          <w:kern w:val="0"/>
          <w:lang w:eastAsia="pl-PL"/>
          <w14:ligatures w14:val="none"/>
        </w:rPr>
        <w:t xml:space="preserve">: </w:t>
      </w:r>
      <w:r w:rsidRPr="00FB15D4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 xml:space="preserve">postępowania o udzielenie zamówienia publicznego pt. „Usługi Cateringowe”, nr postępowania: </w:t>
      </w:r>
      <w:r w:rsidR="003C77E0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>4/</w:t>
      </w:r>
      <w:r w:rsidRPr="00FB15D4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>202</w:t>
      </w:r>
      <w:r w:rsidR="00304C99">
        <w:rPr>
          <w:rFonts w:ascii="Garamond" w:eastAsia="Times New Roman" w:hAnsi="Garamond" w:cs="Calibri"/>
          <w:i/>
          <w:iCs/>
          <w:color w:val="000000"/>
          <w:kern w:val="0"/>
          <w:lang w:eastAsia="pl-PL"/>
          <w14:ligatures w14:val="none"/>
        </w:rPr>
        <w:t>6</w:t>
      </w:r>
    </w:p>
    <w:p w14:paraId="429D3033" w14:textId="77777777" w:rsidR="00FB15D4" w:rsidRPr="00FB15D4" w:rsidRDefault="00FB15D4" w:rsidP="00FB15D4">
      <w:pPr>
        <w:spacing w:after="0" w:line="300" w:lineRule="auto"/>
        <w:jc w:val="both"/>
        <w:rPr>
          <w:rFonts w:ascii="Garamond" w:eastAsia="Times New Roman" w:hAnsi="Garamond" w:cstheme="minorHAnsi"/>
          <w:i/>
          <w:iCs/>
          <w:kern w:val="0"/>
          <w:lang w:eastAsia="pl-PL"/>
          <w14:ligatures w14:val="none"/>
        </w:rPr>
      </w:pPr>
    </w:p>
    <w:p w14:paraId="234EEBF9" w14:textId="77777777" w:rsidR="00FB15D4" w:rsidRPr="00FB15D4" w:rsidRDefault="00FB15D4" w:rsidP="00FB15D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25BF61F6" w14:textId="77777777" w:rsidR="00FB15D4" w:rsidRPr="00FB15D4" w:rsidRDefault="00FB15D4" w:rsidP="00FB15D4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theme="minorHAnsi"/>
          <w:b/>
          <w:kern w:val="0"/>
          <w:u w:val="single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/>
          <w:kern w:val="0"/>
          <w:u w:val="single"/>
          <w:lang w:eastAsia="pl-PL"/>
          <w14:ligatures w14:val="none"/>
        </w:rPr>
        <w:t>Na potrzeby przedmiotowego postępowania o udzielenie zamówienia publicznego, oświadczam, co następuje:</w:t>
      </w:r>
    </w:p>
    <w:p w14:paraId="3A1DDE2E" w14:textId="77777777" w:rsidR="00FB15D4" w:rsidRPr="00FB15D4" w:rsidRDefault="00FB15D4" w:rsidP="00FB15D4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26E14CF3" w14:textId="77777777" w:rsidR="00FB15D4" w:rsidRPr="00FB15D4" w:rsidRDefault="00FB15D4" w:rsidP="00FB15D4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2C51CFA2" w14:textId="77777777" w:rsidR="00FB15D4" w:rsidRPr="00FB15D4" w:rsidRDefault="00FB15D4" w:rsidP="00FB15D4">
      <w:pPr>
        <w:spacing w:after="0" w:line="276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Informacje zawarte w oświadczeniu, o którym mowa w art. 125 ust. 1 ustawy </w:t>
      </w:r>
      <w:proofErr w:type="spellStart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 w zakresie podstaw wykluczenia postępowania wskazanych przez zamawiającego, o których mowa w:</w:t>
      </w:r>
    </w:p>
    <w:p w14:paraId="59974D05" w14:textId="77777777" w:rsidR="00FB15D4" w:rsidRPr="00FB15D4" w:rsidRDefault="00FB15D4" w:rsidP="00FB15D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art. 108 ust. 1 pkt 1-2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, dotyczących skazania Wykonawcy lub/i urzędującego członka jego organu zarządzającego lub nadzorczego, wspólnika spółki w spółce jawnej lub partnerskiej albo komplementariusza w spółce komandytowej lub komandytowo-akcyjnej lub prokurenta za przestępstwa określone </w:t>
      </w: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>w:</w:t>
      </w:r>
    </w:p>
    <w:p w14:paraId="1C72AA7C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art. 258 Kodeksu karnego, </w:t>
      </w:r>
    </w:p>
    <w:p w14:paraId="76031F93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art. 189a Kodeksu karnego, </w:t>
      </w:r>
    </w:p>
    <w:p w14:paraId="70DF4402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art. 228-230a, art. 250a Kodeksu karnego, w </w:t>
      </w:r>
      <w:hyperlink r:id="rId7" w:history="1">
        <w:r w:rsidRPr="00FB15D4">
          <w:rPr>
            <w:rFonts w:ascii="Garamond" w:eastAsia="Times New Roman" w:hAnsi="Garamond" w:cstheme="minorHAnsi"/>
            <w:bCs/>
            <w:color w:val="000000"/>
            <w:kern w:val="0"/>
            <w:lang w:eastAsia="pl-PL"/>
            <w14:ligatures w14:val="none"/>
          </w:rPr>
          <w:t>art. 46-48</w:t>
        </w:r>
      </w:hyperlink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 ustawy z dnia 25 czerwca 2010 r. o sporcie (</w:t>
      </w:r>
      <w:r w:rsidRPr="00FB15D4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 xml:space="preserve">Dz.U. z 2022 r. </w:t>
      </w:r>
      <w:hyperlink r:id="rId8" w:history="1">
        <w:r w:rsidRPr="00FB15D4">
          <w:rPr>
            <w:rFonts w:ascii="Garamond" w:eastAsia="Times New Roman" w:hAnsi="Garamond"/>
            <w:color w:val="0563C1" w:themeColor="hyperlink"/>
            <w:kern w:val="0"/>
            <w:sz w:val="24"/>
            <w:szCs w:val="24"/>
            <w:u w:val="single"/>
            <w:lang w:eastAsia="pl-PL"/>
            <w14:ligatures w14:val="none"/>
          </w:rPr>
          <w:t>poz. 1599</w:t>
        </w:r>
      </w:hyperlink>
      <w:r w:rsidRPr="00FB15D4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 xml:space="preserve"> i </w:t>
      </w:r>
      <w:hyperlink r:id="rId9" w:history="1">
        <w:r w:rsidRPr="00FB15D4">
          <w:rPr>
            <w:rFonts w:ascii="Garamond" w:eastAsia="Times New Roman" w:hAnsi="Garamond"/>
            <w:color w:val="0563C1" w:themeColor="hyperlink"/>
            <w:kern w:val="0"/>
            <w:sz w:val="24"/>
            <w:szCs w:val="24"/>
            <w:u w:val="single"/>
            <w:lang w:eastAsia="pl-PL"/>
            <w14:ligatures w14:val="none"/>
          </w:rPr>
          <w:t>2185</w:t>
        </w:r>
      </w:hyperlink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) lub w </w:t>
      </w:r>
      <w:hyperlink r:id="rId10" w:history="1">
        <w:r w:rsidRPr="00FB15D4">
          <w:rPr>
            <w:rFonts w:ascii="Garamond" w:eastAsia="Times New Roman" w:hAnsi="Garamond" w:cstheme="minorHAnsi"/>
            <w:bCs/>
            <w:color w:val="000000"/>
            <w:kern w:val="0"/>
            <w:lang w:eastAsia="pl-PL"/>
            <w14:ligatures w14:val="none"/>
          </w:rPr>
          <w:t>art. 54 ust. 1-4</w:t>
        </w:r>
      </w:hyperlink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 ustawy z dnia 12 maja 2011 r. o refundacji leków, środków spożywczych specjalnego przeznaczenia żywieniowego oraz wyrobów medycznych (</w:t>
      </w:r>
      <w:r w:rsidRPr="00FB15D4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 xml:space="preserve">Dz.U. z 2023 r. </w:t>
      </w:r>
      <w:hyperlink r:id="rId11" w:history="1">
        <w:r w:rsidRPr="00FB15D4">
          <w:rPr>
            <w:rFonts w:ascii="Garamond" w:eastAsia="Times New Roman" w:hAnsi="Garamond"/>
            <w:color w:val="0563C1" w:themeColor="hyperlink"/>
            <w:kern w:val="0"/>
            <w:sz w:val="24"/>
            <w:szCs w:val="24"/>
            <w:u w:val="single"/>
            <w:lang w:eastAsia="pl-PL"/>
            <w14:ligatures w14:val="none"/>
          </w:rPr>
          <w:t>poz. 826</w:t>
        </w:r>
      </w:hyperlink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>),</w:t>
      </w:r>
    </w:p>
    <w:p w14:paraId="4040F970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 xml:space="preserve">art. 165a Kodeksu karnego, art. 299 Kodeksu karnego, </w:t>
      </w:r>
    </w:p>
    <w:p w14:paraId="17AE0925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>art. 115 § 20 Kodeksu karnego</w:t>
      </w:r>
    </w:p>
    <w:p w14:paraId="0AA1808D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art. 9 ust. 2 ustawy z dnia 15 czerwca 2012 r. o skutkach powierzania wykonywania pracy cudzoziemcom przebywającym wbrew przepisom na terytorium Rzeczypospolitej Polskiej (</w:t>
      </w:r>
      <w:r w:rsidRPr="00FB15D4">
        <w:rPr>
          <w:rFonts w:ascii="Garamond" w:eastAsia="Times New Roman" w:hAnsi="Garamond" w:cs="Times New Roman"/>
          <w:kern w:val="0"/>
          <w:sz w:val="24"/>
          <w:szCs w:val="24"/>
          <w:lang w:eastAsia="pl-PL"/>
          <w14:ligatures w14:val="none"/>
        </w:rPr>
        <w:t xml:space="preserve">Dz.U. z 2021 r. </w:t>
      </w:r>
      <w:hyperlink r:id="rId12" w:history="1">
        <w:r w:rsidRPr="00FB15D4">
          <w:rPr>
            <w:rFonts w:ascii="Garamond" w:eastAsia="Times New Roman" w:hAnsi="Garamond"/>
            <w:color w:val="0563C1" w:themeColor="hyperlink"/>
            <w:kern w:val="0"/>
            <w:sz w:val="24"/>
            <w:szCs w:val="24"/>
            <w:u w:val="single"/>
            <w:lang w:eastAsia="pl-PL"/>
            <w14:ligatures w14:val="none"/>
          </w:rPr>
          <w:t>poz. 1745</w:t>
        </w:r>
      </w:hyperlink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),</w:t>
      </w:r>
    </w:p>
    <w:p w14:paraId="70CD45DC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>art. 296-307 Kodeksu karnego, art. 286 Kodeksu karnego, art. 270-277d Kodeksu karnego, lub przestępstwo skarbowe</w:t>
      </w:r>
    </w:p>
    <w:p w14:paraId="0DFE024F" w14:textId="77777777" w:rsidR="00FB15D4" w:rsidRPr="00FB15D4" w:rsidRDefault="00FB15D4" w:rsidP="00FB15D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Cs/>
          <w:color w:val="000000"/>
          <w:kern w:val="0"/>
          <w:lang w:eastAsia="pl-PL"/>
          <w14:ligatures w14:val="none"/>
        </w:rPr>
        <w:t>art. 9 ust. 1 i 3 lub art. 10 ustawy z dnia 15 czerwca 2012 r. o skutkach powierzania wykonywania pracy cudzoziemcom przebywającym wbrew przepisom na terytorium Rzeczypospolitej Polskiej - lub za odpowiedni czyn zabroniony określony w przepisach prawa obcego</w:t>
      </w:r>
    </w:p>
    <w:p w14:paraId="64AB4E10" w14:textId="77777777" w:rsidR="00FB15D4" w:rsidRPr="00FB15D4" w:rsidRDefault="00FB15D4" w:rsidP="00FB15D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u w:val="single"/>
          <w:lang w:eastAsia="pl-PL"/>
          <w14:ligatures w14:val="none"/>
        </w:rPr>
        <w:lastRenderedPageBreak/>
        <w:t xml:space="preserve">art. 108 ust. 1 pkt 3 ustawy </w:t>
      </w:r>
      <w:proofErr w:type="spellStart"/>
      <w:r w:rsidRPr="00FB15D4">
        <w:rPr>
          <w:rFonts w:ascii="Garamond" w:eastAsia="Times New Roman" w:hAnsi="Garamond" w:cstheme="minorHAnsi"/>
          <w:kern w:val="0"/>
          <w:u w:val="single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, dotyczących wydania prawomocnego wyroku sądu lub ostatecznej decyzji administracyjnej o zaleganiu z uiszczaniem podatków, opłat lub składek na ubezpieczenia społeczne lub zdrowotne,</w:t>
      </w:r>
    </w:p>
    <w:p w14:paraId="1ADEB2F3" w14:textId="77777777" w:rsidR="00FB15D4" w:rsidRPr="00FB15D4" w:rsidRDefault="00FB15D4" w:rsidP="00FB15D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hyperlink r:id="rId13" w:anchor="/document/17337528?unitId=art(108)ust(1)pkt(4)&amp;cm=DOCUMENT" w:history="1">
        <w:r w:rsidRPr="00FB15D4">
          <w:rPr>
            <w:rFonts w:ascii="Garamond" w:eastAsia="Times New Roman" w:hAnsi="Garamond" w:cstheme="minorHAnsi"/>
            <w:color w:val="000000"/>
            <w:kern w:val="0"/>
            <w:u w:val="single"/>
            <w:lang w:eastAsia="pl-PL"/>
            <w14:ligatures w14:val="none"/>
          </w:rPr>
          <w:t>art. 108 ust. 1 pkt 4</w:t>
        </w:r>
      </w:hyperlink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, dotyczących orzeczenia zakazu ubiegania się o zamówienie publiczne tytułem środka zapobiegawczego,</w:t>
      </w:r>
    </w:p>
    <w:p w14:paraId="6C83E6C5" w14:textId="77777777" w:rsidR="00FB15D4" w:rsidRPr="00FB15D4" w:rsidRDefault="00FB15D4" w:rsidP="00FB15D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hyperlink r:id="rId14" w:anchor="/document/17337528?unitId=art(108)ust(1)pkt(5)&amp;cm=DOCUMENT" w:history="1">
        <w:r w:rsidRPr="00FB15D4">
          <w:rPr>
            <w:rFonts w:ascii="Garamond" w:eastAsia="Times New Roman" w:hAnsi="Garamond" w:cstheme="minorHAnsi"/>
            <w:color w:val="000000"/>
            <w:kern w:val="0"/>
            <w:u w:val="single"/>
            <w:lang w:eastAsia="pl-PL"/>
            <w14:ligatures w14:val="none"/>
          </w:rPr>
          <w:t>art. 108 ust. 1 pkt 5</w:t>
        </w:r>
      </w:hyperlink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, dotyczących zawarcia z innymi wykonawcami porozumienia mającego na celu zakłócenie konkurencji,</w:t>
      </w:r>
    </w:p>
    <w:p w14:paraId="1B39133F" w14:textId="77777777" w:rsidR="00FB15D4" w:rsidRPr="00FB15D4" w:rsidRDefault="00FB15D4" w:rsidP="00FB15D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color w:val="000000"/>
          <w:kern w:val="0"/>
          <w:u w:val="single"/>
          <w:lang w:eastAsia="pl-PL"/>
          <w14:ligatures w14:val="none"/>
        </w:rPr>
        <w:t xml:space="preserve">art. 108 ust. 1 pkt 6 ustawy </w:t>
      </w:r>
      <w:proofErr w:type="spellStart"/>
      <w:r w:rsidRPr="00FB15D4">
        <w:rPr>
          <w:rFonts w:ascii="Garamond" w:eastAsia="Times New Roman" w:hAnsi="Garamond" w:cstheme="minorHAnsi"/>
          <w:color w:val="000000"/>
          <w:kern w:val="0"/>
          <w:u w:val="single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, dotyczących zakłócenia konkurencji, o którym mowa w tym przepisie</w:t>
      </w:r>
    </w:p>
    <w:p w14:paraId="77A41F24" w14:textId="77777777" w:rsidR="00FB15D4" w:rsidRPr="00FB15D4" w:rsidRDefault="00FB15D4" w:rsidP="00FB15D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color w:val="000000"/>
          <w:kern w:val="0"/>
          <w:u w:val="single"/>
          <w:lang w:eastAsia="pl-PL"/>
          <w14:ligatures w14:val="none"/>
        </w:rPr>
        <w:t>art. 7 ust. 1 ustawy z dnia 13 kwietnia 2022 r. o szczególnych rozwiązaniach w zakresie przeciwdziałania wspieraniu agresji na Ukrainę oraz służących ochronie bezpieczeństwa narodowego 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(</w:t>
      </w:r>
      <w:r w:rsidRPr="00FB15D4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Dz. U. z 2024 r., poz. 507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) dotyczących zakazu udziału w postępowaniu o udzielenie zamówienia publicznego podmiotów tam wskazanych w związku z agresją na Ukrainę</w:t>
      </w:r>
    </w:p>
    <w:p w14:paraId="6E4B9E50" w14:textId="77777777" w:rsidR="00FB15D4" w:rsidRPr="00FB15D4" w:rsidRDefault="00FB15D4" w:rsidP="00FB15D4">
      <w:pPr>
        <w:spacing w:after="0" w:line="240" w:lineRule="auto"/>
        <w:jc w:val="both"/>
        <w:rPr>
          <w:rFonts w:ascii="Garamond" w:eastAsia="Times New Roman" w:hAnsi="Garamond" w:cstheme="minorHAnsi"/>
          <w:b/>
          <w:bCs/>
          <w:kern w:val="0"/>
          <w:u w:val="single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b/>
          <w:bCs/>
          <w:kern w:val="0"/>
          <w:u w:val="single"/>
          <w:lang w:eastAsia="pl-PL"/>
          <w14:ligatures w14:val="none"/>
        </w:rPr>
        <w:t xml:space="preserve">złożone na etapie składania ofert jest nadal aktualne i na dzień złożenia niniejszego oświadczenia </w:t>
      </w:r>
      <w:r w:rsidRPr="00FB15D4">
        <w:rPr>
          <w:rFonts w:ascii="Garamond" w:eastAsia="Times New Roman" w:hAnsi="Garamond" w:cstheme="minorHAnsi"/>
          <w:b/>
          <w:kern w:val="0"/>
          <w:u w:val="single"/>
          <w:lang w:eastAsia="pl-PL"/>
          <w14:ligatures w14:val="none"/>
        </w:rPr>
        <w:t xml:space="preserve">Podmiot, który reprezentuję: </w:t>
      </w:r>
    </w:p>
    <w:p w14:paraId="6605552D" w14:textId="77777777" w:rsidR="00FB15D4" w:rsidRPr="00FB15D4" w:rsidRDefault="00FB15D4" w:rsidP="00FB15D4">
      <w:pPr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Nie podlega wykluczeniu z postępowania na podstawie art. 108 ust. 1 pkt 1-2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; </w:t>
      </w:r>
    </w:p>
    <w:p w14:paraId="75A191C3" w14:textId="77777777" w:rsidR="00FB15D4" w:rsidRPr="00FB15D4" w:rsidRDefault="00FB15D4" w:rsidP="00FB15D4">
      <w:pPr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Nie podlega wykluczeniu z postępowania na podstawie art. 108 ust. 1 pkt 3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;</w:t>
      </w:r>
    </w:p>
    <w:p w14:paraId="5261CDB1" w14:textId="77777777" w:rsidR="00FB15D4" w:rsidRPr="00FB15D4" w:rsidRDefault="00FB15D4" w:rsidP="00FB15D4">
      <w:pPr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Nie podlega wykluczeniu z postępowania na podstawie art. 108 ust. 1 pkt 4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;</w:t>
      </w:r>
    </w:p>
    <w:p w14:paraId="0D1CCFDA" w14:textId="77777777" w:rsidR="00FB15D4" w:rsidRPr="00FB15D4" w:rsidRDefault="00FB15D4" w:rsidP="00FB15D4">
      <w:pPr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Nie podlega wykluczeniu z postępowania na podstawie art. 108 ust. 1 pkt 5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;</w:t>
      </w:r>
    </w:p>
    <w:p w14:paraId="255E9BCA" w14:textId="77777777" w:rsidR="00FB15D4" w:rsidRPr="00FB15D4" w:rsidRDefault="00FB15D4" w:rsidP="00FB15D4">
      <w:pPr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Nie podlega wykluczeniu z postępowania na podstawie art. 108 ust. 1 pkt 6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 xml:space="preserve"> ustawy </w:t>
      </w:r>
      <w:proofErr w:type="spellStart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Pzp</w:t>
      </w:r>
      <w:proofErr w:type="spellEnd"/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>,</w:t>
      </w:r>
    </w:p>
    <w:p w14:paraId="398B53B3" w14:textId="77777777" w:rsidR="00FB15D4" w:rsidRPr="00FB15D4" w:rsidRDefault="00FB15D4" w:rsidP="00FB15D4">
      <w:pPr>
        <w:numPr>
          <w:ilvl w:val="0"/>
          <w:numId w:val="3"/>
        </w:numPr>
        <w:suppressAutoHyphens/>
        <w:overflowPunct w:val="0"/>
        <w:autoSpaceDE w:val="0"/>
        <w:spacing w:after="0" w:line="276" w:lineRule="auto"/>
        <w:contextualSpacing/>
        <w:jc w:val="both"/>
        <w:textAlignment w:val="baseline"/>
        <w:rPr>
          <w:rFonts w:ascii="Garamond" w:eastAsia="Times New Roman" w:hAnsi="Garamond" w:cstheme="minorHAnsi"/>
          <w:b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0"/>
          <w:lang w:eastAsia="pl-PL"/>
          <w14:ligatures w14:val="none"/>
        </w:rPr>
        <w:t xml:space="preserve">Nie podlega wykluczeniu z postępowania na podstawie art. 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7 ust. 1 ustawy z dnia 13 kwietnia 2022 r. o szczególnych rozwiązaniach w zakresie przeciwdziałania wspieraniu agresji na Ukrainę oraz służących ochronie bezpieczeństwa narodowego (</w:t>
      </w:r>
      <w:r w:rsidRPr="00FB15D4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Dz. U. z 2024 r., poz. 507</w:t>
      </w:r>
      <w:r w:rsidRPr="00FB15D4">
        <w:rPr>
          <w:rFonts w:ascii="Garamond" w:eastAsia="Times New Roman" w:hAnsi="Garamond" w:cstheme="minorHAnsi"/>
          <w:color w:val="000000"/>
          <w:kern w:val="0"/>
          <w:lang w:eastAsia="pl-PL"/>
          <w14:ligatures w14:val="none"/>
        </w:rPr>
        <w:t>).</w:t>
      </w:r>
    </w:p>
    <w:p w14:paraId="3116C029" w14:textId="77777777" w:rsidR="00FB15D4" w:rsidRPr="00FB15D4" w:rsidRDefault="00FB15D4" w:rsidP="00FB15D4">
      <w:pPr>
        <w:spacing w:after="0" w:line="240" w:lineRule="auto"/>
        <w:ind w:left="284"/>
        <w:jc w:val="both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p w14:paraId="50D6BF55" w14:textId="77777777" w:rsidR="00FB15D4" w:rsidRPr="00FB15D4" w:rsidRDefault="00FB15D4" w:rsidP="00FB15D4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597702EF" w14:textId="77777777" w:rsidR="00FB15D4" w:rsidRPr="00FB15D4" w:rsidRDefault="00FB15D4" w:rsidP="00FB15D4">
      <w:pPr>
        <w:autoSpaceDE w:val="0"/>
        <w:autoSpaceDN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45B8699C" w14:textId="77777777" w:rsidR="00FB15D4" w:rsidRPr="00FB15D4" w:rsidRDefault="00FB15D4" w:rsidP="00FB15D4">
      <w:pPr>
        <w:autoSpaceDE w:val="0"/>
        <w:autoSpaceDN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4EB856E5" w14:textId="77777777" w:rsidR="00FB15D4" w:rsidRPr="00FB15D4" w:rsidRDefault="00FB15D4" w:rsidP="00FB15D4">
      <w:pPr>
        <w:spacing w:after="0" w:line="240" w:lineRule="auto"/>
        <w:jc w:val="both"/>
        <w:outlineLvl w:val="0"/>
        <w:rPr>
          <w:rFonts w:ascii="Garamond" w:eastAsia="Times New Roman" w:hAnsi="Garamond" w:cstheme="minorHAnsi"/>
          <w:kern w:val="22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22"/>
          <w:lang w:eastAsia="pl-PL"/>
          <w14:ligatures w14:val="none"/>
        </w:rPr>
        <w:t>Miejscowość, data: ……………………………………</w:t>
      </w:r>
    </w:p>
    <w:p w14:paraId="10EA6523" w14:textId="77777777" w:rsidR="00FB15D4" w:rsidRPr="00FB15D4" w:rsidRDefault="00FB15D4" w:rsidP="00FB15D4">
      <w:pPr>
        <w:spacing w:after="0" w:line="240" w:lineRule="auto"/>
        <w:jc w:val="both"/>
        <w:rPr>
          <w:rFonts w:ascii="Garamond" w:eastAsia="Times New Roman" w:hAnsi="Garamond" w:cstheme="minorHAnsi"/>
          <w:kern w:val="22"/>
          <w:lang w:eastAsia="pl-PL"/>
          <w14:ligatures w14:val="none"/>
        </w:rPr>
      </w:pPr>
    </w:p>
    <w:p w14:paraId="0B36B04E" w14:textId="77777777" w:rsidR="00FB15D4" w:rsidRPr="00FB15D4" w:rsidRDefault="00FB15D4" w:rsidP="00FB15D4">
      <w:pPr>
        <w:autoSpaceDE w:val="0"/>
        <w:autoSpaceDN w:val="0"/>
        <w:spacing w:after="0" w:line="240" w:lineRule="auto"/>
        <w:jc w:val="both"/>
        <w:rPr>
          <w:rFonts w:ascii="Garamond" w:eastAsia="Times New Roman" w:hAnsi="Garamond" w:cstheme="minorHAnsi"/>
          <w:kern w:val="22"/>
          <w:lang w:eastAsia="pl-PL"/>
          <w14:ligatures w14:val="none"/>
        </w:rPr>
      </w:pPr>
    </w:p>
    <w:p w14:paraId="4C1669D7" w14:textId="77777777" w:rsidR="00FB15D4" w:rsidRPr="00FB15D4" w:rsidRDefault="00FB15D4" w:rsidP="00FB15D4">
      <w:pPr>
        <w:autoSpaceDE w:val="0"/>
        <w:autoSpaceDN w:val="0"/>
        <w:spacing w:after="0" w:line="240" w:lineRule="auto"/>
        <w:jc w:val="both"/>
        <w:rPr>
          <w:rFonts w:ascii="Garamond" w:eastAsia="Times New Roman" w:hAnsi="Garamond" w:cstheme="minorHAnsi"/>
          <w:kern w:val="22"/>
          <w:lang w:eastAsia="pl-PL"/>
          <w14:ligatures w14:val="none"/>
        </w:rPr>
      </w:pPr>
    </w:p>
    <w:p w14:paraId="12E73E37" w14:textId="77777777" w:rsidR="00FB15D4" w:rsidRPr="00FB15D4" w:rsidRDefault="00FB15D4" w:rsidP="00FB15D4">
      <w:pPr>
        <w:autoSpaceDE w:val="0"/>
        <w:autoSpaceDN w:val="0"/>
        <w:spacing w:after="0" w:line="240" w:lineRule="auto"/>
        <w:ind w:left="3969"/>
        <w:jc w:val="center"/>
        <w:rPr>
          <w:rFonts w:ascii="Garamond" w:eastAsia="Times New Roman" w:hAnsi="Garamond" w:cstheme="minorHAnsi"/>
          <w:kern w:val="22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kern w:val="22"/>
          <w:lang w:eastAsia="pl-PL"/>
          <w14:ligatures w14:val="none"/>
        </w:rPr>
        <w:t>…………………..………………………………………</w:t>
      </w:r>
    </w:p>
    <w:p w14:paraId="4C4A870A" w14:textId="77777777" w:rsidR="00FB15D4" w:rsidRPr="00FB15D4" w:rsidRDefault="00FB15D4" w:rsidP="00FB15D4">
      <w:pPr>
        <w:spacing w:after="0" w:line="240" w:lineRule="auto"/>
        <w:ind w:left="4956" w:firstLine="708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  <w:r w:rsidRPr="00FB15D4"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  <w:t>(podpis)</w:t>
      </w:r>
    </w:p>
    <w:p w14:paraId="622B7A46" w14:textId="77777777" w:rsidR="00FB15D4" w:rsidRPr="00FB15D4" w:rsidRDefault="00FB15D4" w:rsidP="00FB15D4">
      <w:pPr>
        <w:spacing w:after="0" w:line="240" w:lineRule="auto"/>
        <w:jc w:val="both"/>
        <w:rPr>
          <w:rFonts w:ascii="Garamond" w:eastAsia="Times New Roman" w:hAnsi="Garamond" w:cstheme="minorHAnsi"/>
          <w:i/>
          <w:kern w:val="0"/>
          <w:lang w:eastAsia="pl-PL"/>
          <w14:ligatures w14:val="none"/>
        </w:rPr>
      </w:pPr>
    </w:p>
    <w:p w14:paraId="38FEC1FF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20652310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62FEE4F7" w14:textId="77777777" w:rsidR="00FB15D4" w:rsidRPr="00FB15D4" w:rsidRDefault="00FB15D4" w:rsidP="00FB15D4">
      <w:pPr>
        <w:spacing w:after="0" w:line="276" w:lineRule="auto"/>
        <w:contextualSpacing/>
        <w:jc w:val="both"/>
        <w:rPr>
          <w:rFonts w:ascii="Garamond" w:eastAsia="Arial" w:hAnsi="Garamond" w:cstheme="minorHAnsi"/>
          <w:kern w:val="0"/>
          <w:lang w:eastAsia="pl-PL"/>
          <w14:ligatures w14:val="none"/>
        </w:rPr>
      </w:pPr>
    </w:p>
    <w:p w14:paraId="67A2D4DC" w14:textId="77777777" w:rsidR="00FB15D4" w:rsidRPr="00FB15D4" w:rsidRDefault="00FB15D4" w:rsidP="00FB15D4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6CCCE2CC" w14:textId="77777777" w:rsidR="00FB15D4" w:rsidRPr="00FB15D4" w:rsidRDefault="00FB15D4" w:rsidP="00FB15D4">
      <w:pPr>
        <w:autoSpaceDE w:val="0"/>
        <w:autoSpaceDN w:val="0"/>
        <w:spacing w:after="0" w:line="240" w:lineRule="auto"/>
        <w:jc w:val="both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0B259503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3BD252F5" w14:textId="77777777" w:rsidR="00FB15D4" w:rsidRPr="00FB15D4" w:rsidRDefault="00FB15D4" w:rsidP="00FB15D4">
      <w:pPr>
        <w:spacing w:after="0" w:line="240" w:lineRule="auto"/>
        <w:rPr>
          <w:rFonts w:ascii="Garamond" w:eastAsia="Times New Roman" w:hAnsi="Garamond" w:cstheme="minorHAnsi"/>
          <w:kern w:val="0"/>
          <w:lang w:eastAsia="pl-PL"/>
          <w14:ligatures w14:val="none"/>
        </w:rPr>
      </w:pPr>
    </w:p>
    <w:p w14:paraId="0EC543B2" w14:textId="77777777" w:rsidR="00FB15D4" w:rsidRPr="00FB15D4" w:rsidRDefault="00FB15D4" w:rsidP="00FB15D4">
      <w:pPr>
        <w:spacing w:after="0" w:line="276" w:lineRule="auto"/>
        <w:contextualSpacing/>
        <w:jc w:val="both"/>
        <w:rPr>
          <w:rFonts w:ascii="Garamond" w:eastAsia="Arial" w:hAnsi="Garamond" w:cstheme="minorHAnsi"/>
          <w:kern w:val="0"/>
          <w:sz w:val="24"/>
          <w:szCs w:val="24"/>
          <w:lang w:eastAsia="pl-PL"/>
          <w14:ligatures w14:val="none"/>
        </w:rPr>
      </w:pPr>
    </w:p>
    <w:p w14:paraId="40C2AA1A" w14:textId="77777777" w:rsidR="00FB15D4" w:rsidRPr="00FB15D4" w:rsidRDefault="00FB15D4" w:rsidP="00FB15D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AAB08C9" w14:textId="77777777" w:rsidR="004D708D" w:rsidRDefault="004D708D"/>
    <w:sectPr w:rsidR="004D708D" w:rsidSect="00FB15D4">
      <w:headerReference w:type="default" r:id="rId15"/>
      <w:pgSz w:w="11906" w:h="16838"/>
      <w:pgMar w:top="164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26C74" w14:textId="77777777" w:rsidR="006C6533" w:rsidRDefault="006C6533">
      <w:pPr>
        <w:spacing w:after="0" w:line="240" w:lineRule="auto"/>
      </w:pPr>
      <w:r>
        <w:separator/>
      </w:r>
    </w:p>
  </w:endnote>
  <w:endnote w:type="continuationSeparator" w:id="0">
    <w:p w14:paraId="69ABE0CD" w14:textId="77777777" w:rsidR="006C6533" w:rsidRDefault="006C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1E9E1" w14:textId="77777777" w:rsidR="006C6533" w:rsidRDefault="006C6533">
      <w:pPr>
        <w:spacing w:after="0" w:line="240" w:lineRule="auto"/>
      </w:pPr>
      <w:r>
        <w:separator/>
      </w:r>
    </w:p>
  </w:footnote>
  <w:footnote w:type="continuationSeparator" w:id="0">
    <w:p w14:paraId="30A271DF" w14:textId="77777777" w:rsidR="006C6533" w:rsidRDefault="006C6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48842" w14:textId="77777777" w:rsidR="006717F9" w:rsidRDefault="006717F9" w:rsidP="003B7C60">
    <w:pPr>
      <w:pStyle w:val="Nagwek"/>
      <w:ind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16"/>
    <w:multiLevelType w:val="hybridMultilevel"/>
    <w:tmpl w:val="A5D20E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62B3B61"/>
    <w:multiLevelType w:val="hybridMultilevel"/>
    <w:tmpl w:val="60446BDE"/>
    <w:lvl w:ilvl="0" w:tplc="4518F9CE">
      <w:start w:val="1"/>
      <w:numFmt w:val="bullet"/>
      <w:lvlText w:val="-"/>
      <w:lvlJc w:val="left"/>
      <w:pPr>
        <w:ind w:left="1004" w:hanging="360"/>
      </w:pPr>
      <w:rPr>
        <w:rFonts w:ascii="Trebuchet MS" w:hAnsi="Trebuchet M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F86969"/>
    <w:multiLevelType w:val="hybridMultilevel"/>
    <w:tmpl w:val="3DE628C4"/>
    <w:lvl w:ilvl="0" w:tplc="4518F9CE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465598">
    <w:abstractNumId w:val="2"/>
  </w:num>
  <w:num w:numId="2" w16cid:durableId="375473410">
    <w:abstractNumId w:val="0"/>
  </w:num>
  <w:num w:numId="3" w16cid:durableId="1022439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5D4"/>
    <w:rsid w:val="002E4570"/>
    <w:rsid w:val="00304C99"/>
    <w:rsid w:val="003C77E0"/>
    <w:rsid w:val="004616D1"/>
    <w:rsid w:val="004D708D"/>
    <w:rsid w:val="006717F9"/>
    <w:rsid w:val="006C6533"/>
    <w:rsid w:val="00982EBD"/>
    <w:rsid w:val="00AE24ED"/>
    <w:rsid w:val="00CA0C72"/>
    <w:rsid w:val="00DA1598"/>
    <w:rsid w:val="00FB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FC8C"/>
  <w15:chartTrackingRefBased/>
  <w15:docId w15:val="{A70207C7-6143-4E31-9818-A1D90BAE3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5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5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5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5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5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5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5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5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5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5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5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5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5D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5D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5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5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5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5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5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5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5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5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5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5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5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5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5D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15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FB15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q3deltqmfyc4nruguzdanzqgm&amp;refSource=hyp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kmrrgu4tkltqmfyc4njug44taobzha" TargetMode="External"/><Relationship Id="rId12" Type="http://schemas.openxmlformats.org/officeDocument/2006/relationships/hyperlink" Target="https://sip.legalis.pl/document-view.seam?documentId=mfrxilrtg4ytmnrxhezdiltqmfyc4nrqgqydsmbxgq&amp;refSource=hy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4ytqojrgqztkltqmfyc4nryge2tmmzxha&amp;refSource=hyp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mmjsga3tcltqmfyc4njyge3dknrth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qmbwheydoltqmfyc4nrvgmztonbyha&amp;refSource=hyp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Borowiec</dc:creator>
  <cp:keywords/>
  <dc:description/>
  <cp:lastModifiedBy>Lidia Szost</cp:lastModifiedBy>
  <cp:revision>2</cp:revision>
  <dcterms:created xsi:type="dcterms:W3CDTF">2026-05-11T08:40:00Z</dcterms:created>
  <dcterms:modified xsi:type="dcterms:W3CDTF">2026-05-11T08:40:00Z</dcterms:modified>
</cp:coreProperties>
</file>